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2E" w:rsidRPr="00C46A2E" w:rsidRDefault="00C46A2E" w:rsidP="009249C5">
      <w:pPr>
        <w:spacing w:after="0" w:line="240" w:lineRule="auto"/>
        <w:jc w:val="center"/>
        <w:rPr>
          <w:rFonts w:ascii="Arial" w:hAnsi="Arial" w:cs="Arial"/>
          <w:b/>
          <w:sz w:val="24"/>
          <w:szCs w:val="24"/>
        </w:rPr>
      </w:pPr>
      <w:r>
        <w:rPr>
          <w:rFonts w:ascii="Arial" w:hAnsi="Arial" w:cs="Arial"/>
          <w:b/>
          <w:sz w:val="24"/>
          <w:szCs w:val="24"/>
        </w:rPr>
        <w:t>REQUERIMIENTOS PARA SER PRESIDENTE (ART. 113. CONSTITUCIÓN POLITICA PARA EL ESTADO LIBRE Y SOBERANO DE OAXACA).</w:t>
      </w:r>
    </w:p>
    <w:p w:rsidR="00C46A2E" w:rsidRDefault="00C46A2E" w:rsidP="009249C5">
      <w:pPr>
        <w:spacing w:after="0" w:line="240" w:lineRule="auto"/>
        <w:jc w:val="both"/>
        <w:rPr>
          <w:rFonts w:ascii="Arial" w:hAnsi="Arial" w:cs="Arial"/>
          <w:sz w:val="24"/>
          <w:szCs w:val="24"/>
        </w:rPr>
      </w:pPr>
    </w:p>
    <w:p w:rsidR="00810F0F" w:rsidRDefault="00C46A2E" w:rsidP="009249C5">
      <w:pPr>
        <w:spacing w:after="0" w:line="240" w:lineRule="auto"/>
        <w:jc w:val="both"/>
        <w:rPr>
          <w:rFonts w:ascii="Arial" w:hAnsi="Arial" w:cs="Arial"/>
          <w:sz w:val="24"/>
          <w:szCs w:val="24"/>
        </w:rPr>
      </w:pPr>
      <w:r w:rsidRPr="00C46A2E">
        <w:rPr>
          <w:rFonts w:ascii="Arial" w:hAnsi="Arial" w:cs="Arial"/>
          <w:b/>
          <w:sz w:val="24"/>
          <w:szCs w:val="24"/>
        </w:rPr>
        <w:t>ARTÍCULO 113.-</w:t>
      </w:r>
      <w:r w:rsidRPr="00C46A2E">
        <w:rPr>
          <w:rFonts w:ascii="Arial" w:hAnsi="Arial" w:cs="Arial"/>
          <w:sz w:val="24"/>
          <w:szCs w:val="24"/>
        </w:rPr>
        <w:t xml:space="preserve"> El Estado de Oaxaca, para su régimen interior, se divide en Municipios libres que están agrupados en distritos rentísticos y judiciales.</w:t>
      </w:r>
    </w:p>
    <w:p w:rsidR="009249C5" w:rsidRDefault="009249C5" w:rsidP="009249C5">
      <w:pPr>
        <w:spacing w:after="0" w:line="240" w:lineRule="auto"/>
        <w:jc w:val="both"/>
        <w:rPr>
          <w:rFonts w:ascii="Arial" w:hAnsi="Arial" w:cs="Arial"/>
          <w:sz w:val="24"/>
          <w:szCs w:val="24"/>
        </w:rPr>
      </w:pPr>
    </w:p>
    <w:p w:rsidR="009249C5" w:rsidRDefault="00C46A2E" w:rsidP="009249C5">
      <w:pPr>
        <w:spacing w:after="0" w:line="240" w:lineRule="auto"/>
        <w:jc w:val="both"/>
        <w:rPr>
          <w:rFonts w:ascii="Arial" w:hAnsi="Arial" w:cs="Arial"/>
          <w:sz w:val="24"/>
          <w:szCs w:val="24"/>
        </w:rPr>
      </w:pPr>
      <w:r w:rsidRPr="00C46A2E">
        <w:rPr>
          <w:rFonts w:ascii="Arial" w:hAnsi="Arial" w:cs="Arial"/>
          <w:sz w:val="24"/>
          <w:szCs w:val="24"/>
        </w:rPr>
        <w:t>Los Municipios se erigirán y suprimirán de conformidad con las disposiciones contenidas en las fracciones VII y VIII del Artículo 59 de esta Constitución.</w:t>
      </w:r>
    </w:p>
    <w:p w:rsidR="00C46A2E" w:rsidRP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 xml:space="preserve"> </w:t>
      </w:r>
    </w:p>
    <w:p w:rsidR="00C46A2E" w:rsidRP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Los Municipios tienen personalidad jurídica propia y constituyen un nivel de gobierno.</w:t>
      </w:r>
    </w:p>
    <w:p w:rsidR="00C46A2E" w:rsidRDefault="00C46A2E" w:rsidP="009249C5">
      <w:pPr>
        <w:pStyle w:val="Prrafodelista"/>
        <w:numPr>
          <w:ilvl w:val="0"/>
          <w:numId w:val="1"/>
        </w:numPr>
        <w:spacing w:after="0" w:line="240" w:lineRule="auto"/>
        <w:jc w:val="both"/>
        <w:rPr>
          <w:rFonts w:ascii="Arial" w:hAnsi="Arial" w:cs="Arial"/>
          <w:sz w:val="24"/>
          <w:szCs w:val="24"/>
        </w:rPr>
      </w:pPr>
      <w:r w:rsidRPr="00C46A2E">
        <w:rPr>
          <w:rFonts w:ascii="Arial" w:hAnsi="Arial" w:cs="Arial"/>
          <w:sz w:val="24"/>
          <w:szCs w:val="24"/>
        </w:rPr>
        <w:t>Cada Municipio será gobernado por un Ayuntamiento de elección popular directa, integrado por una Presidencia Municipal y el número de Regidurías y Sindicaturas que la ley determine, se garantizaran la paridad y alternancia de género en el registro de las planillas para hacer efectivo el principio constitucional de paridad de género.</w:t>
      </w:r>
    </w:p>
    <w:p w:rsidR="009249C5" w:rsidRPr="00C46A2E" w:rsidRDefault="009249C5" w:rsidP="009249C5">
      <w:pPr>
        <w:pStyle w:val="Prrafodelista"/>
        <w:spacing w:after="0" w:line="240" w:lineRule="auto"/>
        <w:ind w:left="1080"/>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 xml:space="preserve">Los servidores públicos antes mencionados podrán ser reelectos en los términos establecidos en el artículo 29 de esta Constitución. </w:t>
      </w:r>
    </w:p>
    <w:p w:rsidR="009249C5" w:rsidRPr="00C46A2E" w:rsidRDefault="009249C5" w:rsidP="009249C5">
      <w:pPr>
        <w:spacing w:after="0" w:line="240" w:lineRule="auto"/>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Para ser miembro de un Ayuntamiento se requiere:</w:t>
      </w:r>
    </w:p>
    <w:p w:rsidR="009249C5" w:rsidRDefault="009249C5" w:rsidP="009249C5">
      <w:pPr>
        <w:spacing w:after="0" w:line="240" w:lineRule="auto"/>
        <w:jc w:val="both"/>
        <w:rPr>
          <w:rFonts w:ascii="Arial" w:hAnsi="Arial" w:cs="Arial"/>
          <w:sz w:val="24"/>
          <w:szCs w:val="24"/>
        </w:rPr>
      </w:pPr>
    </w:p>
    <w:p w:rsidR="00AE7B30" w:rsidRDefault="00C46A2E" w:rsidP="009249C5">
      <w:pPr>
        <w:spacing w:after="0" w:line="240" w:lineRule="auto"/>
        <w:jc w:val="both"/>
        <w:rPr>
          <w:rFonts w:ascii="Arial" w:hAnsi="Arial" w:cs="Arial"/>
          <w:sz w:val="24"/>
          <w:szCs w:val="24"/>
        </w:rPr>
      </w:pPr>
      <w:r w:rsidRPr="00AE7B30">
        <w:rPr>
          <w:rFonts w:ascii="Arial" w:hAnsi="Arial" w:cs="Arial"/>
          <w:sz w:val="24"/>
          <w:szCs w:val="24"/>
        </w:rPr>
        <w:t>a) Ser ciudadano en ejercicio de sus derechos políticos;</w:t>
      </w:r>
    </w:p>
    <w:p w:rsidR="009249C5" w:rsidRPr="00AE7B30" w:rsidRDefault="009249C5" w:rsidP="009249C5">
      <w:pPr>
        <w:spacing w:after="0" w:line="240" w:lineRule="auto"/>
        <w:jc w:val="both"/>
        <w:rPr>
          <w:rFonts w:ascii="Arial" w:hAnsi="Arial" w:cs="Arial"/>
          <w:sz w:val="24"/>
          <w:szCs w:val="24"/>
        </w:rPr>
      </w:pPr>
    </w:p>
    <w:p w:rsidR="00AE7B30" w:rsidRDefault="00C46A2E" w:rsidP="009249C5">
      <w:pPr>
        <w:spacing w:after="0" w:line="240" w:lineRule="auto"/>
        <w:jc w:val="both"/>
        <w:rPr>
          <w:rFonts w:ascii="Arial" w:hAnsi="Arial" w:cs="Arial"/>
          <w:sz w:val="18"/>
          <w:szCs w:val="18"/>
        </w:rPr>
      </w:pPr>
      <w:r w:rsidRPr="00AE7B30">
        <w:rPr>
          <w:rFonts w:ascii="Arial" w:hAnsi="Arial" w:cs="Arial"/>
          <w:sz w:val="24"/>
          <w:szCs w:val="24"/>
        </w:rPr>
        <w:t>b) Se deroga;</w:t>
      </w:r>
      <w:r w:rsidRPr="00AE7B30">
        <w:rPr>
          <w:rFonts w:ascii="Arial" w:hAnsi="Arial" w:cs="Arial"/>
          <w:sz w:val="18"/>
          <w:szCs w:val="18"/>
        </w:rPr>
        <w:t xml:space="preserve"> (Derogado según Decreto No. 1263 PPOE Extra de 30-06-2015)</w:t>
      </w:r>
    </w:p>
    <w:p w:rsidR="009249C5" w:rsidRPr="00AE7B30" w:rsidRDefault="009249C5" w:rsidP="009249C5">
      <w:pPr>
        <w:spacing w:after="0" w:line="240" w:lineRule="auto"/>
        <w:jc w:val="both"/>
        <w:rPr>
          <w:rFonts w:ascii="Arial" w:hAnsi="Arial" w:cs="Arial"/>
          <w:sz w:val="18"/>
          <w:szCs w:val="18"/>
        </w:rPr>
      </w:pPr>
    </w:p>
    <w:p w:rsidR="00AE7B30" w:rsidRDefault="00C46A2E" w:rsidP="009249C5">
      <w:pPr>
        <w:spacing w:after="0" w:line="240" w:lineRule="auto"/>
        <w:jc w:val="both"/>
        <w:rPr>
          <w:rFonts w:ascii="Arial" w:hAnsi="Arial" w:cs="Arial"/>
          <w:sz w:val="24"/>
          <w:szCs w:val="24"/>
        </w:rPr>
      </w:pPr>
      <w:r w:rsidRPr="00AE7B30">
        <w:rPr>
          <w:rFonts w:ascii="Arial" w:hAnsi="Arial" w:cs="Arial"/>
          <w:sz w:val="24"/>
          <w:szCs w:val="24"/>
        </w:rPr>
        <w:t xml:space="preserve">c) Estar avecindado en el municipio, por un periodo no menor de un año inmediato anterior al día de la elección; </w:t>
      </w:r>
    </w:p>
    <w:p w:rsidR="009249C5" w:rsidRPr="00AE7B30" w:rsidRDefault="009249C5" w:rsidP="009249C5">
      <w:pPr>
        <w:spacing w:after="0" w:line="240" w:lineRule="auto"/>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AE7B30">
        <w:rPr>
          <w:rFonts w:ascii="Arial" w:hAnsi="Arial" w:cs="Arial"/>
          <w:sz w:val="24"/>
          <w:szCs w:val="24"/>
        </w:rPr>
        <w:t>d) No pertenecer a las fuerzas armadas permanentes federales, a las fuerzas de seguridad pública estatales o de la seguridad pública municipal;</w:t>
      </w:r>
    </w:p>
    <w:p w:rsidR="009249C5"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e) No ser servidora o servidor público municipal, del Estado o de la Federación, con facultades ejecutivas. </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f) No pertenecer al estado eclesiástico ni ser ministro de algún culto;</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g) No haber sido sentenciado por delitos intencionales;</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y h) Tener un modo honesto de vivir.</w:t>
      </w:r>
    </w:p>
    <w:p w:rsidR="009249C5" w:rsidRPr="00AE7B30" w:rsidRDefault="009249C5" w:rsidP="009249C5">
      <w:pPr>
        <w:spacing w:after="0" w:line="240" w:lineRule="auto"/>
        <w:jc w:val="both"/>
        <w:rPr>
          <w:rFonts w:ascii="Arial" w:hAnsi="Arial" w:cs="Arial"/>
          <w:sz w:val="24"/>
          <w:szCs w:val="24"/>
        </w:rPr>
      </w:pPr>
    </w:p>
    <w:p w:rsidR="00C46A2E"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i) En los municipios indígenas, además de lo establecido en los incisos anteriores, se requerirá haber </w:t>
      </w:r>
      <w:r w:rsidRPr="00AE7B30">
        <w:rPr>
          <w:rFonts w:ascii="Arial" w:hAnsi="Arial" w:cs="Arial"/>
          <w:b/>
          <w:sz w:val="24"/>
          <w:szCs w:val="24"/>
        </w:rPr>
        <w:t>cumplido con las obligaciones comunitarias</w:t>
      </w:r>
      <w:r w:rsidRPr="00AE7B30">
        <w:rPr>
          <w:rFonts w:ascii="Arial" w:hAnsi="Arial" w:cs="Arial"/>
          <w:sz w:val="24"/>
          <w:szCs w:val="24"/>
        </w:rPr>
        <w:t xml:space="preserve"> establecidas en sus sistemas normativos. </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Las ciudadanas y ciudadanos comprendidos en los supuestos de los incisos d) y e), podrán ser miembros del ayuntamiento, siempre y cuando se separen del servicio </w:t>
      </w:r>
      <w:r w:rsidRPr="00AE7B30">
        <w:rPr>
          <w:rFonts w:ascii="Arial" w:hAnsi="Arial" w:cs="Arial"/>
          <w:sz w:val="24"/>
          <w:szCs w:val="24"/>
        </w:rPr>
        <w:lastRenderedPageBreak/>
        <w:t>activo o de sus cargos, con setenta días naturales de anticipación a la fecha de la elección.</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Si alguno de los miembros del Ayuntamiento dejare de desempeñar su cargo, será sustituido por su suplente o se procederá según lo disponga la ley.</w:t>
      </w:r>
    </w:p>
    <w:p w:rsidR="009249C5" w:rsidRPr="00AE7B30" w:rsidRDefault="009249C5" w:rsidP="009249C5">
      <w:pPr>
        <w:spacing w:after="0" w:line="240" w:lineRule="auto"/>
        <w:jc w:val="both"/>
        <w:rPr>
          <w:rFonts w:ascii="Arial" w:hAnsi="Arial" w:cs="Arial"/>
          <w:sz w:val="24"/>
          <w:szCs w:val="24"/>
        </w:rPr>
      </w:pPr>
    </w:p>
    <w:p w:rsidR="00AE7B30" w:rsidRP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Los integrantes de los Ayuntamientos, tomarán posesión el día primero de enero del año siguiente al de su elección y durarán en su cargo tres años, pudiendo ser reelectos para el periodo inmediato</w:t>
      </w:r>
      <w:r w:rsidR="009249C5">
        <w:rPr>
          <w:rFonts w:ascii="Arial" w:hAnsi="Arial" w:cs="Arial"/>
          <w:sz w:val="24"/>
          <w:szCs w:val="24"/>
        </w:rPr>
        <w:t>.</w:t>
      </w:r>
    </w:p>
    <w:p w:rsidR="00C46A2E" w:rsidRDefault="00C46A2E" w:rsidP="009249C5">
      <w:pPr>
        <w:spacing w:after="0" w:line="240" w:lineRule="auto"/>
        <w:jc w:val="both"/>
        <w:rPr>
          <w:rFonts w:ascii="Arial" w:hAnsi="Arial" w:cs="Arial"/>
          <w:sz w:val="24"/>
          <w:szCs w:val="24"/>
        </w:rPr>
      </w:pPr>
    </w:p>
    <w:p w:rsidR="009249C5" w:rsidRDefault="009249C5" w:rsidP="009249C5">
      <w:pPr>
        <w:spacing w:after="0" w:line="240" w:lineRule="auto"/>
        <w:jc w:val="both"/>
        <w:rPr>
          <w:rFonts w:ascii="Arial" w:hAnsi="Arial" w:cs="Arial"/>
          <w:sz w:val="24"/>
          <w:szCs w:val="24"/>
        </w:rPr>
      </w:pPr>
    </w:p>
    <w:p w:rsidR="009249C5"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center"/>
        <w:rPr>
          <w:rFonts w:ascii="Arial" w:hAnsi="Arial" w:cs="Arial"/>
          <w:b/>
          <w:sz w:val="24"/>
          <w:szCs w:val="24"/>
        </w:rPr>
      </w:pPr>
      <w:r>
        <w:rPr>
          <w:rFonts w:ascii="Arial" w:hAnsi="Arial" w:cs="Arial"/>
          <w:b/>
          <w:sz w:val="24"/>
          <w:szCs w:val="24"/>
        </w:rPr>
        <w:t>LEY ORGANICA MUNICIPAL DEL ESTADO DE OAXACA</w:t>
      </w:r>
    </w:p>
    <w:p w:rsidR="009249C5" w:rsidRDefault="009249C5" w:rsidP="009249C5">
      <w:pPr>
        <w:spacing w:after="0" w:line="240" w:lineRule="auto"/>
        <w:jc w:val="center"/>
        <w:rPr>
          <w:rFonts w:ascii="Arial" w:hAnsi="Arial" w:cs="Arial"/>
          <w:b/>
          <w:sz w:val="24"/>
          <w:szCs w:val="24"/>
        </w:rPr>
      </w:pPr>
    </w:p>
    <w:p w:rsidR="00AE7B30" w:rsidRPr="00AE7B30" w:rsidRDefault="00AE7B30" w:rsidP="009249C5">
      <w:pPr>
        <w:spacing w:after="0" w:line="240" w:lineRule="auto"/>
        <w:jc w:val="center"/>
        <w:rPr>
          <w:rFonts w:ascii="Arial" w:hAnsi="Arial" w:cs="Arial"/>
          <w:b/>
          <w:sz w:val="24"/>
          <w:szCs w:val="24"/>
        </w:rPr>
      </w:pPr>
      <w:r>
        <w:rPr>
          <w:rFonts w:ascii="Arial" w:hAnsi="Arial" w:cs="Arial"/>
          <w:b/>
          <w:sz w:val="24"/>
          <w:szCs w:val="24"/>
        </w:rPr>
        <w:t>CAPÍTULO I. INTEGRACIÓN E INSTALACIÓN DEL AYUNTAMIENTO</w:t>
      </w:r>
    </w:p>
    <w:p w:rsidR="00C46A2E" w:rsidRPr="00AE7B30" w:rsidRDefault="00C46A2E" w:rsidP="009249C5">
      <w:pPr>
        <w:spacing w:after="0" w:line="240" w:lineRule="auto"/>
        <w:jc w:val="both"/>
        <w:rPr>
          <w:rFonts w:ascii="Arial" w:hAnsi="Arial" w:cs="Arial"/>
          <w:sz w:val="24"/>
          <w:szCs w:val="24"/>
        </w:rPr>
      </w:pPr>
    </w:p>
    <w:p w:rsidR="00A60038" w:rsidRDefault="00A60038" w:rsidP="009249C5">
      <w:pPr>
        <w:spacing w:after="0" w:line="240" w:lineRule="auto"/>
        <w:jc w:val="both"/>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30.- El Ayuntamiento estará integrado por el Presidente Municipal y el número de Síndicos y Regidores que señale el Código de Instituciones Políticas y Procedimientos Electorales de Oaxaca.</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 xml:space="preserve">ARTÍCULO 31.- Los miembros del Ayuntamiento se eligen por sufragio universal, directo, libre y secreto de los ciudadanos según los principios de mayoría relativa y de representación proporcional, en los términos del Código de Instituciones Políticas y Procedimientos Electorales del Estado de Oaxaca. En los Municipios que se rigen por usos y costumbres, para la elección del Ayuntamiento, se respetarán las tradiciones y prácticas democráticas en los términos de los ordenamientos aplicables. </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32.- El Ayuntamiento durará en su encargo tres años. El Ayuntamiento rendirá protesta el día primero de enero siguiente al de su elección y concluirá el treinta y uno de diciembre del año de las elecciones para su renovación. 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(Segundo párrafo adicionado mediante decreto número 712, aprobado el 27 de septiembre del 2017 y publicado en el Periódico Oficial Extra del 17 de octubre del 2017)</w:t>
      </w:r>
      <w:r w:rsidR="0036455C" w:rsidRPr="00E027F8">
        <w:rPr>
          <w:rFonts w:ascii="Arial" w:hAnsi="Arial" w:cs="Arial"/>
          <w:sz w:val="24"/>
          <w:szCs w:val="24"/>
        </w:rPr>
        <w:t>.</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33.- Los integrantes de los Ayuntamientos electos por Sistemas Normativos Internos, desempeñarán el cargo durante el tiempo que sus tradiciones y prácticas democráticas determinen. (Artículo reformado mediante decreto número 535, aprobado el 18 de enero del 2017 y publicado en el Periódico Oficial número 5, décimo quinta sección del 4 de febrero del 2017)</w:t>
      </w:r>
      <w:r w:rsidR="0036455C" w:rsidRPr="00E027F8">
        <w:rPr>
          <w:rFonts w:ascii="Arial" w:hAnsi="Arial" w:cs="Arial"/>
          <w:sz w:val="24"/>
          <w:szCs w:val="24"/>
        </w:rPr>
        <w:t>.</w:t>
      </w:r>
    </w:p>
    <w:p w:rsidR="0036455C" w:rsidRPr="00E027F8" w:rsidRDefault="0036455C" w:rsidP="009249C5">
      <w:pPr>
        <w:spacing w:after="0" w:line="240" w:lineRule="auto"/>
        <w:jc w:val="both"/>
        <w:rPr>
          <w:rFonts w:ascii="Arial" w:hAnsi="Arial" w:cs="Arial"/>
          <w:sz w:val="24"/>
          <w:szCs w:val="24"/>
        </w:rPr>
      </w:pPr>
    </w:p>
    <w:p w:rsidR="00E027F8"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34.- Los cargos de Pr</w:t>
      </w:r>
      <w:bookmarkStart w:id="0" w:name="_GoBack"/>
      <w:bookmarkEnd w:id="0"/>
      <w:r w:rsidRPr="00E027F8">
        <w:rPr>
          <w:rFonts w:ascii="Arial" w:hAnsi="Arial" w:cs="Arial"/>
          <w:sz w:val="24"/>
          <w:szCs w:val="24"/>
        </w:rPr>
        <w:t xml:space="preserve">esidente Municipal, Síndicos y Regidores del Ayuntamiento serán obligatorios y sólo podrá renunciarse a ellos por causa justificada que calificará el propio Ayuntamiento. De todos los casos conocerá el Congreso del Estado, hará la declaratoria que corresponda y proveerá lo necesario para cubrir la vacante si después de llamado el suplente, éste no acudiere. </w:t>
      </w:r>
    </w:p>
    <w:p w:rsidR="00E027F8" w:rsidRPr="00E027F8" w:rsidRDefault="00E027F8" w:rsidP="009249C5">
      <w:pPr>
        <w:spacing w:after="0" w:line="240" w:lineRule="auto"/>
        <w:jc w:val="both"/>
        <w:rPr>
          <w:rFonts w:ascii="Arial" w:hAnsi="Arial" w:cs="Arial"/>
          <w:sz w:val="24"/>
          <w:szCs w:val="24"/>
        </w:rPr>
      </w:pPr>
    </w:p>
    <w:p w:rsidR="00C46A2E"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35.- Para ser miembro de un Ayuntamiento se requiere satisfacer los requisitos del artículo 113 fracción I párrafo octavo de la Constitución Política del Estado Libre y Soberano de Oaxaca; y cumplir con lo establecido por el Código de Instituciones Políticas y Procedimientos Electorales del Estado de Oaxaca.</w:t>
      </w:r>
    </w:p>
    <w:p w:rsidR="00C46A2E" w:rsidRPr="00E027F8" w:rsidRDefault="00C46A2E" w:rsidP="009249C5">
      <w:pPr>
        <w:spacing w:after="0" w:line="240" w:lineRule="auto"/>
        <w:jc w:val="both"/>
        <w:rPr>
          <w:rFonts w:ascii="Arial" w:hAnsi="Arial" w:cs="Arial"/>
          <w:sz w:val="24"/>
          <w:szCs w:val="24"/>
        </w:rPr>
      </w:pPr>
    </w:p>
    <w:p w:rsidR="00C46A2E" w:rsidRPr="00E027F8" w:rsidRDefault="00C46A2E" w:rsidP="009249C5">
      <w:pPr>
        <w:spacing w:after="0" w:line="240" w:lineRule="auto"/>
        <w:jc w:val="both"/>
        <w:rPr>
          <w:rFonts w:ascii="Arial" w:hAnsi="Arial" w:cs="Arial"/>
          <w:sz w:val="24"/>
          <w:szCs w:val="24"/>
        </w:rPr>
      </w:pPr>
    </w:p>
    <w:p w:rsidR="00C46A2E" w:rsidRPr="00E027F8" w:rsidRDefault="00C46A2E" w:rsidP="009249C5">
      <w:pPr>
        <w:spacing w:after="0" w:line="240" w:lineRule="auto"/>
        <w:jc w:val="both"/>
        <w:rPr>
          <w:rFonts w:ascii="Arial" w:hAnsi="Arial" w:cs="Arial"/>
          <w:sz w:val="24"/>
          <w:szCs w:val="24"/>
        </w:rPr>
      </w:pPr>
    </w:p>
    <w:p w:rsidR="00C46A2E" w:rsidRDefault="00E027F8" w:rsidP="00E027F8">
      <w:pPr>
        <w:spacing w:after="0" w:line="240" w:lineRule="auto"/>
        <w:jc w:val="center"/>
        <w:rPr>
          <w:rFonts w:ascii="Arial" w:hAnsi="Arial" w:cs="Arial"/>
          <w:b/>
          <w:sz w:val="24"/>
          <w:szCs w:val="24"/>
        </w:rPr>
      </w:pPr>
      <w:r>
        <w:rPr>
          <w:rFonts w:ascii="Arial" w:hAnsi="Arial" w:cs="Arial"/>
          <w:b/>
          <w:sz w:val="24"/>
          <w:szCs w:val="24"/>
        </w:rPr>
        <w:t>BANDO DE POLICÍA Y GOBIERNO DEL MUNICIPIO DE SANTA MARÍA ATZOMPA, CENTRO, OAXACA</w:t>
      </w:r>
    </w:p>
    <w:p w:rsidR="00E027F8" w:rsidRPr="00E027F8" w:rsidRDefault="00E027F8" w:rsidP="009249C5">
      <w:pPr>
        <w:spacing w:after="0" w:line="240" w:lineRule="auto"/>
        <w:jc w:val="both"/>
        <w:rPr>
          <w:rFonts w:ascii="Arial" w:hAnsi="Arial" w:cs="Arial"/>
          <w:b/>
          <w:sz w:val="24"/>
          <w:szCs w:val="24"/>
        </w:rPr>
      </w:pPr>
    </w:p>
    <w:p w:rsidR="00E027F8" w:rsidRPr="00A05F12" w:rsidRDefault="00E027F8" w:rsidP="00E027F8">
      <w:pPr>
        <w:autoSpaceDE w:val="0"/>
        <w:autoSpaceDN w:val="0"/>
        <w:adjustRightInd w:val="0"/>
        <w:spacing w:after="0" w:line="240" w:lineRule="auto"/>
        <w:jc w:val="center"/>
        <w:rPr>
          <w:rFonts w:ascii="Arial" w:hAnsi="Arial" w:cs="Arial"/>
          <w:b/>
          <w:bCs/>
          <w:sz w:val="24"/>
          <w:szCs w:val="24"/>
        </w:rPr>
      </w:pPr>
      <w:r w:rsidRPr="00A05F12">
        <w:rPr>
          <w:rFonts w:ascii="Arial" w:hAnsi="Arial" w:cs="Arial"/>
          <w:b/>
          <w:bCs/>
          <w:sz w:val="24"/>
          <w:szCs w:val="24"/>
        </w:rPr>
        <w:t>CAPITULO I</w:t>
      </w:r>
    </w:p>
    <w:p w:rsidR="00E027F8" w:rsidRPr="00A05F12" w:rsidRDefault="00E027F8" w:rsidP="00E027F8">
      <w:pPr>
        <w:pStyle w:val="Default"/>
        <w:jc w:val="center"/>
        <w:rPr>
          <w:b/>
          <w:bCs/>
        </w:rPr>
      </w:pPr>
      <w:r w:rsidRPr="00A05F12">
        <w:rPr>
          <w:b/>
          <w:bCs/>
        </w:rPr>
        <w:t>DE LA INTEGRACIÓN E INSTALACIÓN DEL AYUNTAMIENTO.</w:t>
      </w:r>
    </w:p>
    <w:p w:rsidR="00E027F8" w:rsidRDefault="00E027F8" w:rsidP="00E027F8">
      <w:pPr>
        <w:pStyle w:val="Default"/>
        <w:jc w:val="both"/>
        <w:rPr>
          <w:b/>
          <w:bCs/>
        </w:rPr>
      </w:pPr>
    </w:p>
    <w:p w:rsidR="00E027F8" w:rsidRDefault="00E027F8" w:rsidP="00E027F8">
      <w:pPr>
        <w:pStyle w:val="Default"/>
        <w:jc w:val="both"/>
        <w:rPr>
          <w:b/>
          <w:bCs/>
        </w:rPr>
      </w:pPr>
    </w:p>
    <w:p w:rsidR="00E027F8" w:rsidRPr="00E50B8A" w:rsidRDefault="00E027F8" w:rsidP="00E027F8">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23</w:t>
      </w:r>
      <w:r w:rsidRPr="00A05F12">
        <w:rPr>
          <w:rFonts w:ascii="Arial" w:hAnsi="Arial" w:cs="Arial"/>
          <w:b/>
          <w:bCs/>
          <w:sz w:val="24"/>
          <w:szCs w:val="24"/>
        </w:rPr>
        <w:t xml:space="preserve">.- </w:t>
      </w:r>
      <w:r w:rsidRPr="00A05F12">
        <w:rPr>
          <w:rFonts w:ascii="Arial" w:hAnsi="Arial" w:cs="Arial"/>
          <w:bCs/>
          <w:sz w:val="24"/>
          <w:szCs w:val="24"/>
        </w:rPr>
        <w:t>El Gobierno del Municipio de Santa María Atzompa, está depositado en un cuerpo colegiado que se denomin</w:t>
      </w:r>
      <w:r>
        <w:rPr>
          <w:rFonts w:ascii="Arial" w:hAnsi="Arial" w:cs="Arial"/>
          <w:bCs/>
          <w:sz w:val="24"/>
          <w:szCs w:val="24"/>
        </w:rPr>
        <w:t>a</w:t>
      </w:r>
      <w:r w:rsidRPr="00A05F12">
        <w:rPr>
          <w:rFonts w:ascii="Arial" w:hAnsi="Arial" w:cs="Arial"/>
          <w:bCs/>
          <w:sz w:val="24"/>
          <w:szCs w:val="24"/>
        </w:rPr>
        <w:t xml:space="preserve"> Ayuntamiento, el cual es el Órgano Supremo del mismo,</w:t>
      </w:r>
      <w:r w:rsidRPr="00A05F12">
        <w:rPr>
          <w:rFonts w:ascii="Arial" w:hAnsi="Arial" w:cs="Arial"/>
          <w:sz w:val="24"/>
          <w:szCs w:val="24"/>
        </w:rPr>
        <w:t xml:space="preserve"> se asentará en la cabecera municipal. Entre el Ayuntamiento y el Gobierno del Estado no habrá autoridad intermedia alguna</w:t>
      </w:r>
      <w:r w:rsidRPr="00A05F12">
        <w:rPr>
          <w:rFonts w:ascii="Arial" w:hAnsi="Arial" w:cs="Arial"/>
          <w:bCs/>
          <w:sz w:val="24"/>
          <w:szCs w:val="24"/>
        </w:rPr>
        <w:t>.</w:t>
      </w:r>
    </w:p>
    <w:p w:rsidR="00E027F8" w:rsidRPr="00A05F12" w:rsidRDefault="00E027F8" w:rsidP="00E027F8">
      <w:pPr>
        <w:pStyle w:val="Default"/>
        <w:jc w:val="both"/>
      </w:pPr>
    </w:p>
    <w:p w:rsidR="00E027F8" w:rsidRPr="00A05F12" w:rsidRDefault="00E027F8" w:rsidP="00E027F8">
      <w:pPr>
        <w:pStyle w:val="Default"/>
        <w:jc w:val="both"/>
      </w:pPr>
      <w:r w:rsidRPr="00A05F12">
        <w:t>Se deberán expedir por el Ayuntamiento, en ejercicio de las atribuciones previstas en la fracción I, del artículo 43</w:t>
      </w:r>
      <w:r w:rsidRPr="001D66BF">
        <w:t>,</w:t>
      </w:r>
      <w:r w:rsidRPr="00A05F12">
        <w:t xml:space="preserve"> de la Ley Orgánica Municipal para el Estado de </w:t>
      </w:r>
      <w:r w:rsidRPr="001D66BF">
        <w:t xml:space="preserve">Oaxaca </w:t>
      </w:r>
      <w:r>
        <w:t>el reglamento interior del mismo, el reglamento del cabildo, lo</w:t>
      </w:r>
      <w:r w:rsidRPr="00A05F12">
        <w:t xml:space="preserve">s manuales de procedimientos, así como las demás disposiciones legales y administrativas necesarias para su buena organización y funcionamiento. </w:t>
      </w:r>
    </w:p>
    <w:p w:rsidR="00E027F8" w:rsidRPr="00A05F12" w:rsidRDefault="00E027F8" w:rsidP="00E027F8">
      <w:pPr>
        <w:pStyle w:val="Default"/>
        <w:jc w:val="both"/>
        <w:rPr>
          <w:b/>
          <w:bCs/>
        </w:rPr>
      </w:pPr>
    </w:p>
    <w:p w:rsidR="00E027F8" w:rsidRDefault="00E027F8" w:rsidP="00E027F8">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24</w:t>
      </w:r>
      <w:r w:rsidRPr="00A05F12">
        <w:rPr>
          <w:rFonts w:ascii="Arial" w:hAnsi="Arial" w:cs="Arial"/>
          <w:b/>
          <w:bCs/>
          <w:sz w:val="24"/>
          <w:szCs w:val="24"/>
        </w:rPr>
        <w:t xml:space="preserve">.- </w:t>
      </w:r>
      <w:r w:rsidRPr="00A05F12">
        <w:rPr>
          <w:rFonts w:ascii="Arial" w:hAnsi="Arial" w:cs="Arial"/>
          <w:bCs/>
          <w:sz w:val="24"/>
          <w:szCs w:val="24"/>
        </w:rPr>
        <w:t>El Ayuntamiento de Santa María Atzompa, es el Órgano de Gobierno a cuya decisión se someten los asuntos de la Administración Pública Municipal. Está integrado por un Presidente Municipal, un Síndico y Seis Regidores.</w:t>
      </w:r>
    </w:p>
    <w:p w:rsidR="00E027F8" w:rsidRDefault="00E027F8" w:rsidP="00E027F8">
      <w:pPr>
        <w:autoSpaceDE w:val="0"/>
        <w:autoSpaceDN w:val="0"/>
        <w:adjustRightInd w:val="0"/>
        <w:spacing w:after="0" w:line="240" w:lineRule="auto"/>
        <w:jc w:val="both"/>
        <w:rPr>
          <w:rFonts w:ascii="Arial" w:hAnsi="Arial" w:cs="Arial"/>
          <w:bCs/>
          <w:sz w:val="24"/>
          <w:szCs w:val="24"/>
        </w:rPr>
      </w:pPr>
    </w:p>
    <w:p w:rsidR="00E027F8" w:rsidRPr="00A05F12" w:rsidRDefault="00E027F8" w:rsidP="00E027F8">
      <w:pPr>
        <w:pStyle w:val="Default"/>
        <w:jc w:val="both"/>
      </w:pPr>
      <w:r w:rsidRPr="00A05F12">
        <w:rPr>
          <w:b/>
          <w:bCs/>
        </w:rPr>
        <w:t xml:space="preserve">ARTÍCULO 25.- </w:t>
      </w:r>
      <w:r w:rsidRPr="00A05F12">
        <w:t xml:space="preserve">Los miembros del Ayuntamiento se eligen de acuerdo a los lineamientos que establece la Asamblea General Comunitaria, como máxima instancia de decisión, como ha sido establecido la Suprema Corte de Justicia de la Nación, en los términos del artículo Segundo de la Constitución Política de los Estados Unidos Mexicanos y el Código de Instituciones Políticas y Procedimientos Electorales del Estado de Oaxaca. </w:t>
      </w:r>
    </w:p>
    <w:p w:rsidR="00E027F8" w:rsidRDefault="00E027F8" w:rsidP="00E027F8">
      <w:pPr>
        <w:autoSpaceDE w:val="0"/>
        <w:autoSpaceDN w:val="0"/>
        <w:adjustRightInd w:val="0"/>
        <w:spacing w:after="0" w:line="240" w:lineRule="auto"/>
        <w:jc w:val="both"/>
        <w:rPr>
          <w:rFonts w:ascii="Arial" w:hAnsi="Arial" w:cs="Arial"/>
          <w:bCs/>
          <w:sz w:val="24"/>
          <w:szCs w:val="24"/>
        </w:rPr>
      </w:pPr>
    </w:p>
    <w:p w:rsidR="00E027F8" w:rsidRPr="00A05F12" w:rsidRDefault="00E027F8" w:rsidP="00E027F8">
      <w:pPr>
        <w:pStyle w:val="Default"/>
        <w:jc w:val="both"/>
      </w:pPr>
    </w:p>
    <w:p w:rsidR="00C46A2E" w:rsidRPr="00E027F8" w:rsidRDefault="00C46A2E" w:rsidP="009249C5">
      <w:pPr>
        <w:spacing w:after="0" w:line="240" w:lineRule="auto"/>
        <w:jc w:val="both"/>
        <w:rPr>
          <w:rFonts w:ascii="Arial" w:hAnsi="Arial" w:cs="Arial"/>
          <w:sz w:val="24"/>
          <w:szCs w:val="24"/>
        </w:rPr>
      </w:pPr>
    </w:p>
    <w:sectPr w:rsidR="00C46A2E" w:rsidRPr="00E027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94D4E"/>
    <w:multiLevelType w:val="hybridMultilevel"/>
    <w:tmpl w:val="1CDA3828"/>
    <w:lvl w:ilvl="0" w:tplc="62F00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2E"/>
    <w:rsid w:val="0036455C"/>
    <w:rsid w:val="00810F0F"/>
    <w:rsid w:val="009249C5"/>
    <w:rsid w:val="00A60038"/>
    <w:rsid w:val="00AE7B30"/>
    <w:rsid w:val="00C46A2E"/>
    <w:rsid w:val="00E02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58EB"/>
  <w15:chartTrackingRefBased/>
  <w15:docId w15:val="{8DB0F5AF-CAE7-417F-8165-6DFB99AC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6A2E"/>
    <w:pPr>
      <w:ind w:left="720"/>
      <w:contextualSpacing/>
    </w:pPr>
  </w:style>
  <w:style w:type="paragraph" w:customStyle="1" w:styleId="Default">
    <w:name w:val="Default"/>
    <w:rsid w:val="00E027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1039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2019-02-28T20:49:00Z</dcterms:created>
  <dcterms:modified xsi:type="dcterms:W3CDTF">2019-02-28T21:39:00Z</dcterms:modified>
</cp:coreProperties>
</file>